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right"/>
        <w:rPr>
          <w:color w:val="366091"/>
          <w:sz w:val="32"/>
          <w:szCs w:val="32"/>
        </w:rPr>
      </w:pPr>
      <w:r w:rsidDel="00000000" w:rsidR="00000000" w:rsidRPr="00000000">
        <w:rPr>
          <w:b w:val="1"/>
          <w:color w:val="366091"/>
          <w:sz w:val="32"/>
          <w:szCs w:val="32"/>
          <w:rtl w:val="0"/>
        </w:rPr>
        <w:tab/>
        <w:tab/>
        <w:tab/>
        <w:tab/>
        <w:tab/>
      </w:r>
      <w:r w:rsidDel="00000000" w:rsidR="00000000" w:rsidRPr="00000000">
        <w:rPr>
          <w:color w:val="366091"/>
          <w:rtl w:val="0"/>
        </w:rPr>
        <w:tab/>
        <w:tab/>
        <w:tab/>
        <w:t xml:space="preserve">27 Mayo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both"/>
        <w:rPr>
          <w:b w:val="1"/>
          <w:color w:val="36609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b w:val="1"/>
          <w:color w:val="366091"/>
        </w:rPr>
      </w:pPr>
      <w:r w:rsidDel="00000000" w:rsidR="00000000" w:rsidRPr="00000000">
        <w:rPr>
          <w:b w:val="1"/>
          <w:color w:val="366091"/>
          <w:rtl w:val="0"/>
        </w:rPr>
        <w:t xml:space="preserve">Cifra triplica los registros de 2019, de acuerdo a la CCS: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b w:val="1"/>
          <w:color w:val="366091"/>
          <w:sz w:val="32"/>
          <w:szCs w:val="32"/>
        </w:rPr>
      </w:pPr>
      <w:r w:rsidDel="00000000" w:rsidR="00000000" w:rsidRPr="00000000">
        <w:rPr>
          <w:b w:val="1"/>
          <w:color w:val="366091"/>
          <w:sz w:val="32"/>
          <w:szCs w:val="32"/>
          <w:rtl w:val="0"/>
        </w:rPr>
        <w:t xml:space="preserve">Comercio electrónico retoma niveles del boom 2021-2022: $2,5 billones en primer cuatrimestre de este año</w:t>
      </w:r>
    </w:p>
    <w:p w:rsidR="00000000" w:rsidDel="00000000" w:rsidP="00000000" w:rsidRDefault="00000000" w:rsidRPr="00000000" w14:paraId="00000005">
      <w:pPr>
        <w:spacing w:before="240" w:lineRule="auto"/>
        <w:jc w:val="both"/>
        <w:rPr>
          <w:color w:val="366091"/>
        </w:rPr>
      </w:pPr>
      <w:r w:rsidDel="00000000" w:rsidR="00000000" w:rsidRPr="00000000">
        <w:rPr>
          <w:color w:val="366091"/>
          <w:rtl w:val="0"/>
        </w:rPr>
        <w:t xml:space="preserve">Luego de 2 años de ajuste post pandemia, el comercio electrónico se encuentra en plena recuperación durante 2025, acumulando un crecimiento del 10% promedio en 12 meses durante el primer cuatrimestre del año. De acuerdo a estimaciones de la Cámara de Comercio de Santiago (CCS), las ventas totales del comercio digital de bienes alcanzan a $2.540 miles de millones entre enero y abril, prácticamente igualando los niveles históricos alcanzados en igual período de los años 2021 y 2022, cuando el consumo se volcó masivamente hacia el canal online producto de las restricciones a la movilidad en época de pandemia. </w:t>
      </w:r>
    </w:p>
    <w:p w:rsidR="00000000" w:rsidDel="00000000" w:rsidP="00000000" w:rsidRDefault="00000000" w:rsidRPr="00000000" w14:paraId="00000006">
      <w:pPr>
        <w:spacing w:before="240" w:lineRule="auto"/>
        <w:jc w:val="both"/>
        <w:rPr>
          <w:color w:val="366091"/>
        </w:rPr>
      </w:pPr>
      <w:r w:rsidDel="00000000" w:rsidR="00000000" w:rsidRPr="00000000">
        <w:rPr>
          <w:color w:val="366091"/>
          <w:rtl w:val="0"/>
        </w:rPr>
        <w:t xml:space="preserve">Estas cifras, adicionalmente, más que triplican los valores observados a fines de la década pasada, consolidando las nuevas dimensiones del comercio electrónico chileno.</w:t>
      </w:r>
    </w:p>
    <w:p w:rsidR="00000000" w:rsidDel="00000000" w:rsidP="00000000" w:rsidRDefault="00000000" w:rsidRPr="00000000" w14:paraId="00000007">
      <w:pPr>
        <w:spacing w:before="240" w:lineRule="auto"/>
        <w:jc w:val="both"/>
        <w:rPr>
          <w:color w:val="366091"/>
        </w:rPr>
      </w:pPr>
      <w:r w:rsidDel="00000000" w:rsidR="00000000" w:rsidRPr="00000000">
        <w:rPr>
          <w:color w:val="366091"/>
        </w:rPr>
        <w:drawing>
          <wp:inline distB="0" distT="0" distL="0" distR="0">
            <wp:extent cx="5612130" cy="4067810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678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40" w:lineRule="auto"/>
        <w:jc w:val="both"/>
        <w:rPr>
          <w:color w:val="36609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40" w:lineRule="auto"/>
        <w:jc w:val="both"/>
        <w:rPr>
          <w:color w:val="366091"/>
        </w:rPr>
      </w:pPr>
      <w:r w:rsidDel="00000000" w:rsidR="00000000" w:rsidRPr="00000000">
        <w:rPr>
          <w:color w:val="366091"/>
          <w:rtl w:val="0"/>
        </w:rPr>
        <w:t xml:space="preserve">Entre las categorías más dinámicas en lo que va de 2025 se encuentran repuestos y accesorios automotrices y materiales de construcción y mejoramiento de hogar, con expansiones promedio superiores al 25% nominal; alimentos y bebidas y productos de higiene personal, cosmética y farmacia, con crecimientos en torno al 20%; vestuario y calzado, cercano al 15%; y electrónica, tecnología y equipamiento de hogar, con un 10% promedio.</w:t>
      </w:r>
    </w:p>
    <w:p w:rsidR="00000000" w:rsidDel="00000000" w:rsidP="00000000" w:rsidRDefault="00000000" w:rsidRPr="00000000" w14:paraId="0000000A">
      <w:pPr>
        <w:spacing w:before="240" w:lineRule="auto"/>
        <w:jc w:val="both"/>
        <w:rPr>
          <w:color w:val="366091"/>
        </w:rPr>
      </w:pPr>
      <w:r w:rsidDel="00000000" w:rsidR="00000000" w:rsidRPr="00000000">
        <w:rPr>
          <w:color w:val="366091"/>
          <w:rtl w:val="0"/>
        </w:rPr>
        <w:t xml:space="preserve">De acuerdo a cifras experimentales del Banco Central de Chile, la penetración del canal online sobre las ventas totales del comercio alcanzó al 12% en marzo pasado y en junio, de acuerdo a la CCS, podría aproximarse a un 16%, debido a la realización del tradicional Cyber Day organizado por la entidad, la fecha más importante del año para el comercio electrónico local.</w:t>
      </w:r>
    </w:p>
    <w:p w:rsidR="00000000" w:rsidDel="00000000" w:rsidP="00000000" w:rsidRDefault="00000000" w:rsidRPr="00000000" w14:paraId="0000000B">
      <w:pPr>
        <w:spacing w:before="240" w:lineRule="auto"/>
        <w:jc w:val="both"/>
        <w:rPr>
          <w:color w:val="366091"/>
        </w:rPr>
      </w:pPr>
      <w:r w:rsidDel="00000000" w:rsidR="00000000" w:rsidRPr="00000000">
        <w:rPr>
          <w:color w:val="366091"/>
          <w:rtl w:val="0"/>
        </w:rPr>
        <w:t xml:space="preserve">En términos anuales, la CCS estima que las ventas totales de 2024 totalizaron cerca de $8.200 miles de millones (unos US$ 8.700 millones), y se espera que este año retomen tasas de crecimiento de dos dígitos para superar los $9 billones, un 10% más que el año anterior.</w:t>
      </w:r>
    </w:p>
    <w:p w:rsidR="00000000" w:rsidDel="00000000" w:rsidP="00000000" w:rsidRDefault="00000000" w:rsidRPr="00000000" w14:paraId="0000000C">
      <w:pPr>
        <w:spacing w:before="240" w:lineRule="auto"/>
        <w:jc w:val="both"/>
        <w:rPr>
          <w:color w:val="366091"/>
        </w:rPr>
      </w:pPr>
      <w:r w:rsidDel="00000000" w:rsidR="00000000" w:rsidRPr="00000000">
        <w:rPr>
          <w:color w:val="366091"/>
          <w:rtl w:val="0"/>
        </w:rPr>
        <w:t xml:space="preserve">Hasta ahora, las cifras de la primera parte del año son consistentes con dicha aproximación.</w:t>
      </w:r>
    </w:p>
    <w:p w:rsidR="00000000" w:rsidDel="00000000" w:rsidP="00000000" w:rsidRDefault="00000000" w:rsidRPr="00000000" w14:paraId="0000000D">
      <w:pPr>
        <w:spacing w:before="240" w:lineRule="auto"/>
        <w:rPr>
          <w:color w:val="36609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-477780</wp:posOffset>
            </wp:positionH>
            <wp:positionV relativeFrom="paragraph">
              <wp:posOffset>256390</wp:posOffset>
            </wp:positionV>
            <wp:extent cx="6680126" cy="3761823"/>
            <wp:effectExtent b="0" l="0" r="0" t="0"/>
            <wp:wrapNone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80126" cy="37618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spacing w:before="240" w:lineRule="auto"/>
        <w:jc w:val="both"/>
        <w:rPr>
          <w:color w:val="36609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40" w:lineRule="auto"/>
        <w:jc w:val="both"/>
        <w:rPr>
          <w:color w:val="366091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709" w:top="1820" w:left="1701" w:right="1701" w:header="142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560" w:right="-151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7482840" cy="838200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82840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2.jpg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0x0101002D2D65B15C8889419A16F8603FCAD839</vt:lpwstr>
  </property>
  <property fmtid="{D5CDD505-2E9C-101B-9397-08002B2CF9AE}" pid="3" name="MediaServiceImageTags">
    <vt:lpwstr>MediaServiceImageTags</vt:lpwstr>
  </property>
</Properties>
</file>